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outlineLvl w:val="0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附件一：</w:t>
      </w:r>
    </w:p>
    <w:p>
      <w:pPr>
        <w:spacing w:line="640" w:lineRule="exact"/>
        <w:jc w:val="left"/>
        <w:rPr>
          <w:rFonts w:ascii="方正小标宋简体" w:hAnsi="Times New Roman" w:eastAsia="方正小标宋简体" w:cs="Times New Roman"/>
          <w:bCs/>
          <w:sz w:val="22"/>
        </w:rPr>
      </w:pPr>
      <w:r>
        <w:rPr>
          <w:rFonts w:hint="eastAsia" w:ascii="Times New Roman" w:hAnsi="Times New Roman" w:eastAsia="仿宋_GB2312" w:cs="Times New Roman"/>
          <w:sz w:val="24"/>
          <w:szCs w:val="24"/>
          <w:highlight w:val="none"/>
        </w:rPr>
        <w:t>材料审核</w:t>
      </w:r>
      <w:r>
        <w:rPr>
          <w:rFonts w:ascii="Times New Roman" w:hAnsi="Times New Roman" w:eastAsia="仿宋_GB2312" w:cs="Times New Roman"/>
          <w:sz w:val="24"/>
          <w:szCs w:val="24"/>
          <w:highlight w:val="none"/>
        </w:rPr>
        <w:t>评价标准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：</w:t>
      </w:r>
    </w:p>
    <w:tbl>
      <w:tblPr>
        <w:tblStyle w:val="2"/>
        <w:tblW w:w="8429" w:type="dxa"/>
        <w:tblInd w:w="93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5387"/>
        <w:gridCol w:w="1184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评价项目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评价要素</w:t>
            </w:r>
          </w:p>
        </w:tc>
        <w:tc>
          <w:tcPr>
            <w:tcW w:w="1184" w:type="dxa"/>
          </w:tcPr>
          <w:p>
            <w:pPr>
              <w:widowControl/>
              <w:spacing w:line="560" w:lineRule="exact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总分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220" w:firstLineChars="100"/>
              <w:jc w:val="left"/>
              <w:outlineLvl w:val="0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学术背景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20分）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学习工作经历，硕士阶段的成绩（含对硕士论文评阅成绩）及外语水平等。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</w:t>
            </w:r>
            <w:r>
              <w:rPr>
                <w:rFonts w:ascii="Times New Roman" w:hAnsi="Times New Roman" w:eastAsia="仿宋_GB2312" w:cs="Times New Roman"/>
                <w:sz w:val="22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220" w:firstLineChars="100"/>
              <w:jc w:val="left"/>
              <w:outlineLvl w:val="0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已取得的成果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20分）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论文、研究报告、</w:t>
            </w:r>
            <w:r>
              <w:rPr>
                <w:rFonts w:ascii="Times New Roman" w:hAnsi="Times New Roman" w:eastAsia="仿宋_GB2312" w:cs="Times New Roman"/>
                <w:sz w:val="22"/>
              </w:rPr>
              <w:t>专利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</w:rPr>
              <w:t>奖励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</w:rPr>
              <w:t>专著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、标准、规范</w:t>
            </w:r>
            <w:r>
              <w:rPr>
                <w:rFonts w:ascii="Times New Roman" w:hAnsi="Times New Roman" w:eastAsia="仿宋_GB2312" w:cs="Times New Roman"/>
                <w:sz w:val="22"/>
              </w:rPr>
              <w:t>等成果。</w:t>
            </w:r>
          </w:p>
        </w:tc>
        <w:tc>
          <w:tcPr>
            <w:tcW w:w="1184" w:type="dxa"/>
            <w:vMerge w:val="continue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220" w:firstLineChars="100"/>
              <w:jc w:val="left"/>
              <w:outlineLvl w:val="0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攻博期间拟进行的科学研究规划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10分）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研究计划思路清晰，具有一定的学术思想，具备进行科学研究的潜质。</w:t>
            </w:r>
          </w:p>
        </w:tc>
        <w:tc>
          <w:tcPr>
            <w:tcW w:w="1184" w:type="dxa"/>
            <w:vMerge w:val="continue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220" w:firstLineChars="100"/>
              <w:jc w:val="left"/>
              <w:outlineLvl w:val="0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专家推荐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10分）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推荐专家对申请人的综合评价及推荐意见。</w:t>
            </w:r>
          </w:p>
        </w:tc>
        <w:tc>
          <w:tcPr>
            <w:tcW w:w="1184" w:type="dxa"/>
            <w:vMerge w:val="continue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220" w:firstLineChars="100"/>
              <w:jc w:val="left"/>
              <w:outlineLvl w:val="0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综合能力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40分）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能够体现综合素质的其他材料。</w:t>
            </w:r>
          </w:p>
        </w:tc>
        <w:tc>
          <w:tcPr>
            <w:tcW w:w="1184" w:type="dxa"/>
            <w:vMerge w:val="continue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34F5D"/>
    <w:rsid w:val="2CC34F5D"/>
    <w:rsid w:val="6BE06441"/>
    <w:rsid w:val="7B5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2021-04-26T08:51:00Z</dcterms:created>
  <dc:creator>lxy</dc:creator>
  <cp:lastModifiedBy>WengCY</cp:lastModifiedBy>
  <dcterms:modified xsi:type="dcterms:W3CDTF">2024-04-23T08:30:01Z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5AD410342E5B42B6AD261053E26702B5_13</vt:lpwstr>
  </property>
</Properties>
</file>